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C3" w:rsidRDefault="002944C3" w:rsidP="00A77ABC">
      <w:pPr>
        <w:jc w:val="center"/>
        <w:rPr>
          <w:rFonts w:ascii="Arial" w:hAnsi="Arial"/>
          <w:b/>
          <w:sz w:val="36"/>
          <w:szCs w:val="36"/>
        </w:rPr>
      </w:pPr>
    </w:p>
    <w:p w:rsidR="002944C3" w:rsidRDefault="002944C3" w:rsidP="00A77ABC">
      <w:pPr>
        <w:jc w:val="center"/>
        <w:rPr>
          <w:rFonts w:ascii="Arial" w:hAnsi="Arial"/>
          <w:b/>
          <w:sz w:val="36"/>
          <w:szCs w:val="36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</w:rPr>
      </w:pPr>
      <w:r w:rsidRPr="006063C6">
        <w:rPr>
          <w:rFonts w:ascii="Arial" w:hAnsi="Arial"/>
          <w:b/>
          <w:sz w:val="36"/>
          <w:szCs w:val="36"/>
        </w:rPr>
        <w:t>OFERTA DE PLACES</w:t>
      </w:r>
      <w:r w:rsidR="00630ACD">
        <w:rPr>
          <w:rFonts w:ascii="Arial" w:hAnsi="Arial"/>
          <w:b/>
          <w:sz w:val="36"/>
          <w:szCs w:val="36"/>
        </w:rPr>
        <w:t xml:space="preserve"> – ESTUDIS DE GRAU</w:t>
      </w:r>
    </w:p>
    <w:p w:rsidR="00E34B42" w:rsidRDefault="00E34B42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6063C6">
        <w:rPr>
          <w:rFonts w:ascii="Arial" w:hAnsi="Arial"/>
          <w:b/>
          <w:sz w:val="36"/>
          <w:szCs w:val="36"/>
          <w:u w:val="single"/>
        </w:rPr>
        <w:t>ACCÉS PER CANVI D’UNIVERSITAT I/O D’ESTUDIS UNIVERSITARIS OFICIALS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B500B0" w:rsidP="00A77AB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Curs 201</w:t>
      </w:r>
      <w:r w:rsidR="00190476">
        <w:rPr>
          <w:rFonts w:ascii="Arial" w:hAnsi="Arial"/>
          <w:sz w:val="28"/>
          <w:szCs w:val="28"/>
        </w:rPr>
        <w:t>2-2013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>Quadrimestre: 201</w:t>
      </w:r>
      <w:r w:rsidR="00190476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-1</w:t>
      </w:r>
    </w:p>
    <w:p w:rsidR="00B500B0" w:rsidRDefault="00B500B0" w:rsidP="0094267B">
      <w:pPr>
        <w:pStyle w:val="Ttol1"/>
        <w:jc w:val="left"/>
        <w:rPr>
          <w:b w:val="0"/>
          <w:szCs w:val="28"/>
          <w:u w:val="single"/>
        </w:rPr>
      </w:pPr>
    </w:p>
    <w:p w:rsidR="0094267B" w:rsidRPr="0094267B" w:rsidRDefault="0094267B" w:rsidP="0094267B">
      <w:pPr>
        <w:pStyle w:val="Ttol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Agrícola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94267B">
        <w:rPr>
          <w:b w:val="0"/>
          <w:szCs w:val="28"/>
        </w:rPr>
        <w:t>5 places</w:t>
      </w:r>
    </w:p>
    <w:p w:rsidR="0094267B" w:rsidRPr="0094267B" w:rsidRDefault="0094267B" w:rsidP="0094267B">
      <w:pPr>
        <w:pStyle w:val="Ttol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Agroambiental i del Paisatge</w:t>
      </w:r>
      <w:r w:rsidRPr="0094267B">
        <w:rPr>
          <w:b w:val="0"/>
          <w:szCs w:val="28"/>
        </w:rPr>
        <w:t>:</w:t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  <w:t>5 places</w:t>
      </w:r>
    </w:p>
    <w:p w:rsidR="0094267B" w:rsidRPr="0094267B" w:rsidRDefault="0094267B" w:rsidP="0094267B">
      <w:pPr>
        <w:pStyle w:val="Ttol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Alimentària</w:t>
      </w:r>
      <w:r w:rsidRPr="0094267B">
        <w:rPr>
          <w:b w:val="0"/>
          <w:szCs w:val="28"/>
        </w:rPr>
        <w:t>:</w:t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  <w:t>5 places</w:t>
      </w:r>
    </w:p>
    <w:p w:rsidR="0094267B" w:rsidRPr="0094267B" w:rsidRDefault="0094267B" w:rsidP="0094267B">
      <w:pPr>
        <w:pStyle w:val="Ttol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dels Sistemes Biològics</w:t>
      </w:r>
      <w:r w:rsidRPr="0094267B">
        <w:rPr>
          <w:b w:val="0"/>
          <w:szCs w:val="28"/>
        </w:rPr>
        <w:t>:</w:t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  <w:t>5 places</w:t>
      </w:r>
    </w:p>
    <w:p w:rsidR="00A77ABC" w:rsidRDefault="00A77ABC" w:rsidP="00A77ABC">
      <w:pPr>
        <w:rPr>
          <w:rFonts w:ascii="Arial" w:hAnsi="Arial"/>
          <w:sz w:val="36"/>
        </w:rPr>
      </w:pPr>
    </w:p>
    <w:p w:rsidR="002944C3" w:rsidRDefault="002944C3" w:rsidP="002944C3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Les condicions d’accés per aquesta via queden regulats per la següent normativa:</w:t>
      </w:r>
    </w:p>
    <w:p w:rsidR="002944C3" w:rsidRDefault="002944C3" w:rsidP="002944C3">
      <w:pPr>
        <w:rPr>
          <w:rFonts w:ascii="Arial" w:hAnsi="Arial"/>
          <w:sz w:val="36"/>
        </w:rPr>
      </w:pPr>
    </w:p>
    <w:p w:rsidR="002944C3" w:rsidRPr="00737703" w:rsidRDefault="00137C27" w:rsidP="002944C3">
      <w:pPr>
        <w:rPr>
          <w:rFonts w:ascii="Arial" w:hAnsi="Arial"/>
          <w:szCs w:val="24"/>
        </w:rPr>
      </w:pPr>
      <w:hyperlink r:id="rId7" w:history="1">
        <w:r w:rsidR="002944C3" w:rsidRPr="00737703">
          <w:rPr>
            <w:rStyle w:val="Enlla"/>
            <w:rFonts w:ascii="Arial" w:hAnsi="Arial"/>
            <w:szCs w:val="24"/>
          </w:rPr>
          <w:t>https://www.upc.edu/sga/normatives/normatives-academiques-de-la-upc/estudis-de-grau</w:t>
        </w:r>
      </w:hyperlink>
    </w:p>
    <w:p w:rsidR="002944C3" w:rsidRDefault="002944C3" w:rsidP="002944C3">
      <w:pPr>
        <w:rPr>
          <w:rFonts w:ascii="Arial" w:hAnsi="Arial"/>
          <w:sz w:val="36"/>
        </w:rPr>
      </w:pPr>
    </w:p>
    <w:p w:rsidR="002944C3" w:rsidRDefault="002944C3" w:rsidP="00A77ABC">
      <w:pPr>
        <w:rPr>
          <w:rFonts w:ascii="Arial" w:hAnsi="Arial"/>
          <w:sz w:val="36"/>
        </w:rPr>
      </w:pPr>
    </w:p>
    <w:sectPr w:rsidR="002944C3" w:rsidSect="002F37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ACE" w:rsidRDefault="003C1ACE" w:rsidP="0064607C">
      <w:r>
        <w:separator/>
      </w:r>
    </w:p>
  </w:endnote>
  <w:endnote w:type="continuationSeparator" w:id="0">
    <w:p w:rsidR="003C1ACE" w:rsidRDefault="003C1ACE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ACE" w:rsidRDefault="003C1ACE" w:rsidP="0064607C">
      <w:r>
        <w:separator/>
      </w:r>
    </w:p>
  </w:footnote>
  <w:footnote w:type="continuationSeparator" w:id="0">
    <w:p w:rsidR="003C1ACE" w:rsidRDefault="003C1ACE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98" w:rsidRDefault="0094267B">
    <w:pPr>
      <w:pStyle w:val="Capalera"/>
    </w:pPr>
    <w:r>
      <w:tab/>
    </w:r>
    <w:r>
      <w:tab/>
    </w:r>
    <w:r>
      <w:rPr>
        <w:noProof/>
        <w:lang w:val="es-ES"/>
      </w:rPr>
      <w:drawing>
        <wp:inline distT="0" distB="0" distL="0" distR="0">
          <wp:extent cx="2487295" cy="408305"/>
          <wp:effectExtent l="19050" t="0" r="8255" b="0"/>
          <wp:docPr id="2" name="Imagen 1" descr="NOU logo ES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 logo ES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408305"/>
                  </a:xfrm>
                  <a:prstGeom prst="rect">
                    <a:avLst/>
                  </a:prstGeom>
                  <a:noFill/>
                  <a:ln w="9525" algn="ctr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F4B02"/>
    <w:rsid w:val="00137C27"/>
    <w:rsid w:val="00190476"/>
    <w:rsid w:val="001A7F15"/>
    <w:rsid w:val="001D6F1B"/>
    <w:rsid w:val="002944C3"/>
    <w:rsid w:val="002F3718"/>
    <w:rsid w:val="003C1ACE"/>
    <w:rsid w:val="00475505"/>
    <w:rsid w:val="006063C6"/>
    <w:rsid w:val="00630ACD"/>
    <w:rsid w:val="0064607C"/>
    <w:rsid w:val="007370E3"/>
    <w:rsid w:val="0094267B"/>
    <w:rsid w:val="00A77ABC"/>
    <w:rsid w:val="00AA79E9"/>
    <w:rsid w:val="00B500B0"/>
    <w:rsid w:val="00CB1B58"/>
    <w:rsid w:val="00E11F80"/>
    <w:rsid w:val="00E34B42"/>
    <w:rsid w:val="00E37DDE"/>
    <w:rsid w:val="00EB069F"/>
    <w:rsid w:val="00FF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4267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4267B"/>
    <w:rPr>
      <w:rFonts w:ascii="Tahoma" w:eastAsia="Times New Roman" w:hAnsi="Tahoma" w:cs="Tahoma"/>
      <w:sz w:val="16"/>
      <w:szCs w:val="16"/>
      <w:lang w:val="ca-ES" w:eastAsia="es-ES"/>
    </w:rPr>
  </w:style>
  <w:style w:type="character" w:styleId="Enlla">
    <w:name w:val="Hyperlink"/>
    <w:basedOn w:val="Tipusdelletraperdefectedelpargraf"/>
    <w:uiPriority w:val="99"/>
    <w:unhideWhenUsed/>
    <w:rsid w:val="00294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normatives/normatives-academiques-de-la-upc/estudis-de-gr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Alumne de Word 2007</cp:lastModifiedBy>
  <cp:revision>2</cp:revision>
  <cp:lastPrinted>2010-06-29T10:09:00Z</cp:lastPrinted>
  <dcterms:created xsi:type="dcterms:W3CDTF">2012-07-10T10:02:00Z</dcterms:created>
  <dcterms:modified xsi:type="dcterms:W3CDTF">2012-07-10T10:02:00Z</dcterms:modified>
</cp:coreProperties>
</file>